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B5A9D" w14:textId="77777777" w:rsidR="0038553D" w:rsidRDefault="0038553D">
      <w:pPr>
        <w:spacing w:line="480" w:lineRule="auto"/>
        <w:rPr>
          <w:rFonts w:ascii="Times New Roman" w:hAnsi="Times New Roman" w:cs="Times New Roman"/>
          <w:sz w:val="24"/>
          <w:szCs w:val="24"/>
        </w:rPr>
      </w:pPr>
    </w:p>
    <w:p w14:paraId="2D4014D3" w14:textId="77777777" w:rsidR="0038553D" w:rsidRDefault="00665DFC">
      <w:pPr>
        <w:spacing w:line="480" w:lineRule="auto"/>
        <w:jc w:val="center"/>
      </w:pPr>
      <w:r>
        <w:rPr>
          <w:rFonts w:ascii="Times New Roman" w:hAnsi="Times New Roman" w:cs="Times New Roman"/>
          <w:sz w:val="24"/>
          <w:szCs w:val="24"/>
        </w:rPr>
        <w:t>Actors in the Agenda Setting Process</w:t>
      </w:r>
    </w:p>
    <w:p w14:paraId="0E6BB530" w14:textId="77777777" w:rsidR="0038553D" w:rsidRDefault="00665DFC">
      <w:pPr>
        <w:spacing w:line="480" w:lineRule="auto"/>
        <w:jc w:val="center"/>
        <w:rPr>
          <w:rFonts w:ascii="Times New Roman" w:hAnsi="Times New Roman" w:cs="Times New Roman"/>
          <w:sz w:val="24"/>
          <w:szCs w:val="24"/>
        </w:rPr>
      </w:pPr>
      <w:r>
        <w:rPr>
          <w:rFonts w:ascii="Times New Roman" w:hAnsi="Times New Roman" w:cs="Times New Roman"/>
          <w:sz w:val="24"/>
          <w:szCs w:val="24"/>
        </w:rPr>
        <w:t>Virginia Code 55 – 225.3   Habitability Law in Virginia</w:t>
      </w:r>
    </w:p>
    <w:p w14:paraId="5512BC0E" w14:textId="77777777" w:rsidR="0038553D" w:rsidRDefault="00665DFC">
      <w:pPr>
        <w:spacing w:line="480" w:lineRule="auto"/>
      </w:pPr>
      <w:r>
        <w:rPr>
          <w:rFonts w:ascii="Times New Roman" w:hAnsi="Times New Roman" w:cs="Times New Roman"/>
          <w:sz w:val="24"/>
          <w:szCs w:val="24"/>
        </w:rPr>
        <w:tab/>
      </w:r>
      <w:r>
        <w:rPr>
          <w:rFonts w:ascii="Times New Roman" w:hAnsi="Times New Roman" w:cs="Times New Roman"/>
          <w:sz w:val="24"/>
          <w:szCs w:val="24"/>
        </w:rPr>
        <w:t xml:space="preserve">Official actors in the policy making process have the responsibility and the power to make decisions by law and the Constitution.  The Legislative Branch, Executive Branch, and the Judicial Branch are considered official actors.  </w:t>
      </w:r>
    </w:p>
    <w:p w14:paraId="4AC53D77" w14:textId="77777777" w:rsidR="0038553D" w:rsidRDefault="00665DFC">
      <w:pPr>
        <w:spacing w:line="480" w:lineRule="auto"/>
      </w:pPr>
      <w:r>
        <w:rPr>
          <w:rFonts w:ascii="Times New Roman" w:hAnsi="Times New Roman" w:cs="Times New Roman"/>
          <w:sz w:val="24"/>
          <w:szCs w:val="24"/>
        </w:rPr>
        <w:tab/>
        <w:t>For Virginia Code 55-225.3, the main official actor of the Legislative Branch is the Virginia General Assembly.  The Virginia House of Delegates are legislators that introduce bills and make laws.  They also have meetings, hearings, fund-raising events, news media interviews, and communicate with constituents about upcoming public policies.  General Assembly members political party affiliation (Republican or Democrat) may play a part in whether votes will be available for the bill to be passed.  Tensions b</w:t>
      </w:r>
      <w:r>
        <w:rPr>
          <w:rFonts w:ascii="Times New Roman" w:hAnsi="Times New Roman" w:cs="Times New Roman"/>
          <w:sz w:val="24"/>
          <w:szCs w:val="24"/>
        </w:rPr>
        <w:t xml:space="preserve">etween parties could influence someone vote.  </w:t>
      </w:r>
    </w:p>
    <w:p w14:paraId="0BD3CE42" w14:textId="77777777" w:rsidR="0038553D" w:rsidRDefault="00665DFC">
      <w:pPr>
        <w:spacing w:line="480" w:lineRule="auto"/>
      </w:pPr>
      <w:r>
        <w:rPr>
          <w:rFonts w:ascii="Times New Roman" w:hAnsi="Times New Roman" w:cs="Times New Roman"/>
          <w:sz w:val="24"/>
          <w:szCs w:val="24"/>
        </w:rPr>
        <w:tab/>
        <w:t xml:space="preserve">Eleventh District Delegate Sam Rasoul from Roanoke referred Virginia Code 55-225.3 to the Committee on General Laws on January 9, 2019 (Bill tracking, retrieved July 10, 2023).   There were many changes to the wording within the bill.  One example of a change in the wording was that the landlord must </w:t>
      </w:r>
      <w:r>
        <w:rPr>
          <w:rFonts w:ascii="Times New Roman" w:hAnsi="Times New Roman" w:cs="Times New Roman"/>
          <w:sz w:val="24"/>
          <w:szCs w:val="24"/>
          <w:u w:val="single"/>
        </w:rPr>
        <w:t>fully comply</w:t>
      </w:r>
      <w:r>
        <w:rPr>
          <w:rFonts w:ascii="Times New Roman" w:hAnsi="Times New Roman" w:cs="Times New Roman"/>
          <w:sz w:val="24"/>
          <w:szCs w:val="24"/>
        </w:rPr>
        <w:t xml:space="preserve"> with the minimum standards set forth in the International Property Maintenance Code and any additional requirements of applicable building and housing codes materially affecting health and safety (Bill tracking, retrieved July 10, 2023). Most of the bill set forth compliance expectations of the landlord.  </w:t>
      </w:r>
    </w:p>
    <w:p w14:paraId="579C6D27" w14:textId="77777777" w:rsidR="0038553D" w:rsidRDefault="00665DFC">
      <w:pPr>
        <w:spacing w:line="480" w:lineRule="auto"/>
      </w:pPr>
      <w:r>
        <w:rPr>
          <w:rFonts w:ascii="Times New Roman" w:hAnsi="Times New Roman" w:cs="Times New Roman"/>
          <w:sz w:val="24"/>
          <w:szCs w:val="24"/>
        </w:rPr>
        <w:lastRenderedPageBreak/>
        <w:tab/>
        <w:t>Virginia Local Governments, specifically County Board of Supervisors and City Managers, are responsible for executing the laws for Virginia Code 55-225.3 Habitability Law.   Local Government Managers have a direct influence on the habitability law and the agenda setting.  Each state has its own laws concerning rental guidelines.  In Virginia, landlords have the right to collect rent payments, security deposits, and terminate the tenancy if the tenant does not comply (Virginia, retrieved July 10, 2023).  La</w:t>
      </w:r>
      <w:r>
        <w:rPr>
          <w:rFonts w:ascii="Times New Roman" w:hAnsi="Times New Roman" w:cs="Times New Roman"/>
          <w:sz w:val="24"/>
          <w:szCs w:val="24"/>
        </w:rPr>
        <w:t>ndlords in Virginia must provide a tenant property in good condition and respond to repair requests in a timely manner (Virginia, retrieved July 10, 2023).</w:t>
      </w:r>
    </w:p>
    <w:p w14:paraId="27144D55" w14:textId="77777777" w:rsidR="0038553D" w:rsidRDefault="00665DFC">
      <w:pPr>
        <w:spacing w:line="480" w:lineRule="auto"/>
      </w:pPr>
      <w:r>
        <w:rPr>
          <w:rFonts w:ascii="Times New Roman" w:hAnsi="Times New Roman" w:cs="Times New Roman"/>
          <w:sz w:val="24"/>
          <w:szCs w:val="24"/>
        </w:rPr>
        <w:tab/>
        <w:t>The official actor of the Executive Branch is the Governor.  The Governor ensures laws are faithfully executed and oversees executive orders.  They will also address public concerns as necessary.  The Governor will be specifically concerned about the dwellings that citizens are living in being unsafe.</w:t>
      </w:r>
    </w:p>
    <w:p w14:paraId="50E77963" w14:textId="77777777" w:rsidR="0038553D" w:rsidRDefault="00665DFC">
      <w:pPr>
        <w:spacing w:line="480" w:lineRule="auto"/>
      </w:pPr>
      <w:r>
        <w:rPr>
          <w:rFonts w:ascii="Times New Roman" w:hAnsi="Times New Roman" w:cs="Times New Roman"/>
          <w:sz w:val="24"/>
          <w:szCs w:val="24"/>
        </w:rPr>
        <w:tab/>
        <w:t xml:space="preserve">For the Judicial Branch, the courts have the final word in the creation of laws and they determine the acceptable application of many policies.  Many court filings have been done between a landlord and tenant to settle a dispute. </w:t>
      </w:r>
    </w:p>
    <w:p w14:paraId="5B28BE0E" w14:textId="77777777" w:rsidR="0038553D" w:rsidRDefault="00665DFC">
      <w:pPr>
        <w:spacing w:line="480" w:lineRule="auto"/>
      </w:pPr>
      <w:r>
        <w:rPr>
          <w:rFonts w:ascii="Times New Roman" w:hAnsi="Times New Roman" w:cs="Times New Roman"/>
          <w:sz w:val="24"/>
          <w:szCs w:val="24"/>
        </w:rPr>
        <w:tab/>
        <w:t xml:space="preserve">Unofficial actors in the policy making process do not have any legal authority but are interested in protecting or promoting the interests of others or themselves.  The unofficial actors of the Virginia Code 55-225.3 Habitability Law are shown below along with their interest in the subject and their effect in the policy making process.   </w:t>
      </w:r>
    </w:p>
    <w:tbl>
      <w:tblPr>
        <w:tblW w:w="8565" w:type="dxa"/>
        <w:tblCellMar>
          <w:left w:w="0" w:type="dxa"/>
          <w:right w:w="0" w:type="dxa"/>
        </w:tblCellMar>
        <w:tblLook w:val="04A0" w:firstRow="1" w:lastRow="0" w:firstColumn="1" w:lastColumn="0" w:noHBand="0" w:noVBand="1"/>
      </w:tblPr>
      <w:tblGrid>
        <w:gridCol w:w="1904"/>
        <w:gridCol w:w="5700"/>
        <w:gridCol w:w="961"/>
      </w:tblGrid>
      <w:tr w:rsidR="0038553D" w14:paraId="714D403A" w14:textId="77777777">
        <w:trPr>
          <w:trHeight w:val="450"/>
        </w:trPr>
        <w:tc>
          <w:tcPr>
            <w:tcW w:w="1904" w:type="dxa"/>
            <w:vAlign w:val="center"/>
          </w:tcPr>
          <w:p w14:paraId="450FF8ED" w14:textId="77777777" w:rsidR="0038553D" w:rsidRDefault="00665DFC">
            <w:pPr>
              <w:pStyle w:val="TableContents"/>
            </w:pPr>
            <w:r>
              <w:t>Unofficial Actor</w:t>
            </w:r>
          </w:p>
        </w:tc>
        <w:tc>
          <w:tcPr>
            <w:tcW w:w="5700" w:type="dxa"/>
            <w:vAlign w:val="center"/>
          </w:tcPr>
          <w:p w14:paraId="10CD6DC6" w14:textId="77777777" w:rsidR="0038553D" w:rsidRDefault="00665DFC">
            <w:pPr>
              <w:pStyle w:val="TableContents"/>
            </w:pPr>
            <w:r>
              <w:t>Interests</w:t>
            </w:r>
          </w:p>
        </w:tc>
        <w:tc>
          <w:tcPr>
            <w:tcW w:w="961" w:type="dxa"/>
            <w:vAlign w:val="center"/>
          </w:tcPr>
          <w:p w14:paraId="33F8F7F5" w14:textId="77777777" w:rsidR="0038553D" w:rsidRDefault="00665DFC">
            <w:pPr>
              <w:pStyle w:val="TableContents"/>
            </w:pPr>
            <w:r>
              <w:t>Effect</w:t>
            </w:r>
          </w:p>
        </w:tc>
      </w:tr>
      <w:tr w:rsidR="0038553D" w14:paraId="4BD725BD" w14:textId="77777777">
        <w:trPr>
          <w:trHeight w:val="765"/>
        </w:trPr>
        <w:tc>
          <w:tcPr>
            <w:tcW w:w="1904" w:type="dxa"/>
            <w:vAlign w:val="center"/>
          </w:tcPr>
          <w:p w14:paraId="3BA5E330" w14:textId="77777777" w:rsidR="0038553D" w:rsidRDefault="00665DFC">
            <w:pPr>
              <w:pStyle w:val="TableContents"/>
            </w:pPr>
            <w:r>
              <w:t xml:space="preserve">Landlord Association </w:t>
            </w:r>
          </w:p>
        </w:tc>
        <w:tc>
          <w:tcPr>
            <w:tcW w:w="5700" w:type="dxa"/>
            <w:vAlign w:val="center"/>
          </w:tcPr>
          <w:p w14:paraId="6609747D" w14:textId="77777777" w:rsidR="0038553D" w:rsidRDefault="00665DFC">
            <w:pPr>
              <w:pStyle w:val="TableContents"/>
            </w:pPr>
            <w:r>
              <w:t xml:space="preserve">Represents the rental housing industry by providing legislative and advocacy services.  </w:t>
            </w:r>
          </w:p>
        </w:tc>
        <w:tc>
          <w:tcPr>
            <w:tcW w:w="961" w:type="dxa"/>
            <w:vAlign w:val="center"/>
          </w:tcPr>
          <w:p w14:paraId="13C6C744" w14:textId="77777777" w:rsidR="0038553D" w:rsidRDefault="00665DFC">
            <w:pPr>
              <w:pStyle w:val="TableContents"/>
            </w:pPr>
            <w:r>
              <w:t>Positive</w:t>
            </w:r>
          </w:p>
        </w:tc>
      </w:tr>
      <w:tr w:rsidR="0038553D" w14:paraId="289354C3" w14:textId="77777777">
        <w:trPr>
          <w:trHeight w:val="315"/>
        </w:trPr>
        <w:tc>
          <w:tcPr>
            <w:tcW w:w="1904" w:type="dxa"/>
            <w:vAlign w:val="center"/>
          </w:tcPr>
          <w:p w14:paraId="17CF99AE" w14:textId="77777777" w:rsidR="0038553D" w:rsidRDefault="00665DFC">
            <w:pPr>
              <w:pStyle w:val="TableContents"/>
            </w:pPr>
            <w:r>
              <w:t>Tenants/Citizens</w:t>
            </w:r>
          </w:p>
        </w:tc>
        <w:tc>
          <w:tcPr>
            <w:tcW w:w="5700" w:type="dxa"/>
            <w:vAlign w:val="center"/>
          </w:tcPr>
          <w:p w14:paraId="12476FC5" w14:textId="77777777" w:rsidR="0038553D" w:rsidRDefault="00665DFC">
            <w:pPr>
              <w:pStyle w:val="TableContents"/>
            </w:pPr>
            <w:r>
              <w:t>Due a safe and secure place to live.</w:t>
            </w:r>
          </w:p>
        </w:tc>
        <w:tc>
          <w:tcPr>
            <w:tcW w:w="961" w:type="dxa"/>
            <w:vAlign w:val="center"/>
          </w:tcPr>
          <w:p w14:paraId="59979DF3" w14:textId="77777777" w:rsidR="0038553D" w:rsidRDefault="00665DFC">
            <w:pPr>
              <w:pStyle w:val="TableContents"/>
            </w:pPr>
            <w:r>
              <w:t>Positive</w:t>
            </w:r>
          </w:p>
        </w:tc>
      </w:tr>
      <w:tr w:rsidR="0038553D" w14:paraId="2B7325D5" w14:textId="77777777">
        <w:trPr>
          <w:trHeight w:val="1890"/>
        </w:trPr>
        <w:tc>
          <w:tcPr>
            <w:tcW w:w="1904" w:type="dxa"/>
            <w:vAlign w:val="center"/>
          </w:tcPr>
          <w:p w14:paraId="37277C61" w14:textId="77777777" w:rsidR="0038553D" w:rsidRDefault="00665DFC">
            <w:pPr>
              <w:pStyle w:val="TableContents"/>
            </w:pPr>
            <w:r>
              <w:t>Virginia Department of Housing and Community Development (DHCD)</w:t>
            </w:r>
          </w:p>
        </w:tc>
        <w:tc>
          <w:tcPr>
            <w:tcW w:w="5700" w:type="dxa"/>
            <w:vAlign w:val="center"/>
          </w:tcPr>
          <w:p w14:paraId="00DB7048" w14:textId="77777777" w:rsidR="0038553D" w:rsidRDefault="00665DFC">
            <w:pPr>
              <w:pStyle w:val="TableContents"/>
            </w:pPr>
            <w:r>
              <w:t>Provides resources for community development and housing needs.  Provides programs to ensure the health, safety, and welfare of citizens through grants, housing credits, zoning, building codes, etc.</w:t>
            </w:r>
          </w:p>
        </w:tc>
        <w:tc>
          <w:tcPr>
            <w:tcW w:w="961" w:type="dxa"/>
            <w:vAlign w:val="center"/>
          </w:tcPr>
          <w:p w14:paraId="7D6F21DD" w14:textId="77777777" w:rsidR="0038553D" w:rsidRDefault="00665DFC">
            <w:pPr>
              <w:pStyle w:val="TableContents"/>
            </w:pPr>
            <w:r>
              <w:t>Positive</w:t>
            </w:r>
          </w:p>
        </w:tc>
      </w:tr>
      <w:tr w:rsidR="0038553D" w14:paraId="616B72D7" w14:textId="77777777">
        <w:trPr>
          <w:trHeight w:val="630"/>
        </w:trPr>
        <w:tc>
          <w:tcPr>
            <w:tcW w:w="1904" w:type="dxa"/>
            <w:vAlign w:val="center"/>
          </w:tcPr>
          <w:p w14:paraId="7B7F15D8" w14:textId="77777777" w:rsidR="0038553D" w:rsidRDefault="00665DFC">
            <w:pPr>
              <w:pStyle w:val="TableContents"/>
            </w:pPr>
            <w:r>
              <w:t>Zoning Departments</w:t>
            </w:r>
          </w:p>
        </w:tc>
        <w:tc>
          <w:tcPr>
            <w:tcW w:w="5700" w:type="dxa"/>
            <w:vAlign w:val="center"/>
          </w:tcPr>
          <w:p w14:paraId="55760BE2" w14:textId="77777777" w:rsidR="0038553D" w:rsidRDefault="00665DFC">
            <w:pPr>
              <w:pStyle w:val="TableContents"/>
            </w:pPr>
            <w:r>
              <w:t>Regulates real estate for intended purposes (resident or business use)</w:t>
            </w:r>
          </w:p>
        </w:tc>
        <w:tc>
          <w:tcPr>
            <w:tcW w:w="961" w:type="dxa"/>
            <w:vAlign w:val="center"/>
          </w:tcPr>
          <w:p w14:paraId="2CB2C63A" w14:textId="77777777" w:rsidR="0038553D" w:rsidRDefault="00665DFC">
            <w:pPr>
              <w:pStyle w:val="TableContents"/>
            </w:pPr>
            <w:r>
              <w:t>Positive</w:t>
            </w:r>
          </w:p>
        </w:tc>
      </w:tr>
      <w:tr w:rsidR="0038553D" w14:paraId="37739F08" w14:textId="77777777">
        <w:trPr>
          <w:trHeight w:val="630"/>
        </w:trPr>
        <w:tc>
          <w:tcPr>
            <w:tcW w:w="1904" w:type="dxa"/>
            <w:vAlign w:val="center"/>
          </w:tcPr>
          <w:p w14:paraId="72217ECA" w14:textId="77777777" w:rsidR="0038553D" w:rsidRDefault="00665DFC">
            <w:pPr>
              <w:pStyle w:val="TableContents"/>
            </w:pPr>
            <w:r>
              <w:t>Building Contractors</w:t>
            </w:r>
          </w:p>
        </w:tc>
        <w:tc>
          <w:tcPr>
            <w:tcW w:w="5700" w:type="dxa"/>
            <w:vAlign w:val="center"/>
          </w:tcPr>
          <w:p w14:paraId="0A09FFAD" w14:textId="77777777" w:rsidR="0038553D" w:rsidRDefault="00665DFC">
            <w:pPr>
              <w:pStyle w:val="TableContents"/>
            </w:pPr>
            <w:r>
              <w:t>Responsible for the construction site and materials used to construct a building.</w:t>
            </w:r>
          </w:p>
        </w:tc>
        <w:tc>
          <w:tcPr>
            <w:tcW w:w="961" w:type="dxa"/>
            <w:vAlign w:val="center"/>
          </w:tcPr>
          <w:p w14:paraId="3CA23FBA" w14:textId="77777777" w:rsidR="0038553D" w:rsidRDefault="00665DFC">
            <w:pPr>
              <w:pStyle w:val="TableContents"/>
            </w:pPr>
            <w:r>
              <w:t>Positive</w:t>
            </w:r>
          </w:p>
        </w:tc>
      </w:tr>
      <w:tr w:rsidR="0038553D" w14:paraId="6B42B155" w14:textId="77777777">
        <w:trPr>
          <w:trHeight w:val="315"/>
        </w:trPr>
        <w:tc>
          <w:tcPr>
            <w:tcW w:w="1904" w:type="dxa"/>
            <w:vAlign w:val="center"/>
          </w:tcPr>
          <w:p w14:paraId="69A8D54A" w14:textId="77777777" w:rsidR="0038553D" w:rsidRDefault="00665DFC">
            <w:pPr>
              <w:pStyle w:val="TableContents"/>
            </w:pPr>
            <w:r>
              <w:t>Utility Department</w:t>
            </w:r>
          </w:p>
        </w:tc>
        <w:tc>
          <w:tcPr>
            <w:tcW w:w="5700" w:type="dxa"/>
            <w:vAlign w:val="center"/>
          </w:tcPr>
          <w:p w14:paraId="0D0B5A7E" w14:textId="77777777" w:rsidR="0038553D" w:rsidRDefault="00665DFC">
            <w:pPr>
              <w:pStyle w:val="TableContents"/>
            </w:pPr>
            <w:r>
              <w:t>Provides the community with electricity and water.</w:t>
            </w:r>
          </w:p>
        </w:tc>
        <w:tc>
          <w:tcPr>
            <w:tcW w:w="961" w:type="dxa"/>
            <w:vAlign w:val="center"/>
          </w:tcPr>
          <w:p w14:paraId="079B48C0" w14:textId="77777777" w:rsidR="0038553D" w:rsidRDefault="00665DFC">
            <w:pPr>
              <w:pStyle w:val="TableContents"/>
            </w:pPr>
            <w:r>
              <w:t>Positive</w:t>
            </w:r>
          </w:p>
        </w:tc>
      </w:tr>
      <w:tr w:rsidR="0038553D" w14:paraId="34366F25" w14:textId="77777777">
        <w:trPr>
          <w:trHeight w:val="630"/>
        </w:trPr>
        <w:tc>
          <w:tcPr>
            <w:tcW w:w="1904" w:type="dxa"/>
            <w:vAlign w:val="center"/>
          </w:tcPr>
          <w:p w14:paraId="789A03EF" w14:textId="7F26114D" w:rsidR="0038553D" w:rsidRDefault="00665DFC">
            <w:pPr>
              <w:pStyle w:val="TableContents"/>
            </w:pPr>
            <w:r>
              <w:t>Insurance</w:t>
            </w:r>
            <w:r>
              <w:t xml:space="preserve"> Companies</w:t>
            </w:r>
          </w:p>
        </w:tc>
        <w:tc>
          <w:tcPr>
            <w:tcW w:w="5700" w:type="dxa"/>
            <w:vAlign w:val="center"/>
          </w:tcPr>
          <w:p w14:paraId="4795E3FB" w14:textId="77777777" w:rsidR="0038553D" w:rsidRDefault="00665DFC">
            <w:pPr>
              <w:pStyle w:val="TableContents"/>
            </w:pPr>
            <w:r>
              <w:t>Provides rental insurance to tenants, provides accident/liability/property insurance to landlords.</w:t>
            </w:r>
          </w:p>
        </w:tc>
        <w:tc>
          <w:tcPr>
            <w:tcW w:w="961" w:type="dxa"/>
            <w:vAlign w:val="center"/>
          </w:tcPr>
          <w:p w14:paraId="5C57ED46" w14:textId="77777777" w:rsidR="0038553D" w:rsidRDefault="00665DFC">
            <w:pPr>
              <w:pStyle w:val="TableContents"/>
            </w:pPr>
            <w:r>
              <w:t>Positive</w:t>
            </w:r>
          </w:p>
        </w:tc>
      </w:tr>
      <w:tr w:rsidR="0038553D" w14:paraId="67A51B7E" w14:textId="77777777">
        <w:trPr>
          <w:trHeight w:val="315"/>
        </w:trPr>
        <w:tc>
          <w:tcPr>
            <w:tcW w:w="1904" w:type="dxa"/>
            <w:vAlign w:val="center"/>
          </w:tcPr>
          <w:p w14:paraId="2752BAAE" w14:textId="77777777" w:rsidR="0038553D" w:rsidRDefault="00665DFC">
            <w:pPr>
              <w:pStyle w:val="TableContents"/>
            </w:pPr>
            <w:r>
              <w:t>Attorneys</w:t>
            </w:r>
          </w:p>
        </w:tc>
        <w:tc>
          <w:tcPr>
            <w:tcW w:w="5700" w:type="dxa"/>
            <w:vAlign w:val="center"/>
          </w:tcPr>
          <w:p w14:paraId="2BD06FB1" w14:textId="351DF434" w:rsidR="0038553D" w:rsidRDefault="00665DFC">
            <w:pPr>
              <w:pStyle w:val="TableContents"/>
            </w:pPr>
            <w:r>
              <w:t xml:space="preserve">Provide legal </w:t>
            </w:r>
            <w:r w:rsidR="008B752C">
              <w:t>advice</w:t>
            </w:r>
            <w:r>
              <w:t xml:space="preserve"> and creates real estate contracts</w:t>
            </w:r>
          </w:p>
        </w:tc>
        <w:tc>
          <w:tcPr>
            <w:tcW w:w="961" w:type="dxa"/>
            <w:vAlign w:val="center"/>
          </w:tcPr>
          <w:p w14:paraId="7659A1E7" w14:textId="77777777" w:rsidR="0038553D" w:rsidRDefault="00665DFC">
            <w:pPr>
              <w:pStyle w:val="TableContents"/>
            </w:pPr>
            <w:r>
              <w:t>Positive</w:t>
            </w:r>
          </w:p>
        </w:tc>
      </w:tr>
      <w:tr w:rsidR="0038553D" w14:paraId="288D20DA" w14:textId="77777777">
        <w:trPr>
          <w:trHeight w:val="945"/>
        </w:trPr>
        <w:tc>
          <w:tcPr>
            <w:tcW w:w="1904" w:type="dxa"/>
            <w:vAlign w:val="center"/>
          </w:tcPr>
          <w:p w14:paraId="441CA549" w14:textId="77777777" w:rsidR="0038553D" w:rsidRDefault="00665DFC">
            <w:pPr>
              <w:pStyle w:val="TableContents"/>
            </w:pPr>
            <w:r>
              <w:t>Media</w:t>
            </w:r>
          </w:p>
        </w:tc>
        <w:tc>
          <w:tcPr>
            <w:tcW w:w="5700" w:type="dxa"/>
            <w:vAlign w:val="center"/>
          </w:tcPr>
          <w:p w14:paraId="19FDCCAB" w14:textId="77777777" w:rsidR="0038553D" w:rsidRDefault="00665DFC">
            <w:pPr>
              <w:pStyle w:val="TableContents"/>
            </w:pPr>
            <w:r>
              <w:t>Plays a “watchdog” role in ensuring government is not abused. Media coverage plays an important part in informing the public about important issues.</w:t>
            </w:r>
          </w:p>
        </w:tc>
        <w:tc>
          <w:tcPr>
            <w:tcW w:w="961" w:type="dxa"/>
            <w:vAlign w:val="center"/>
          </w:tcPr>
          <w:p w14:paraId="38A18C38" w14:textId="77777777" w:rsidR="0038553D" w:rsidRDefault="00665DFC">
            <w:pPr>
              <w:pStyle w:val="TableContents"/>
            </w:pPr>
            <w:r>
              <w:t>Neutral</w:t>
            </w:r>
          </w:p>
        </w:tc>
      </w:tr>
      <w:tr w:rsidR="0038553D" w14:paraId="145A77EA" w14:textId="77777777">
        <w:trPr>
          <w:trHeight w:val="630"/>
        </w:trPr>
        <w:tc>
          <w:tcPr>
            <w:tcW w:w="1904" w:type="dxa"/>
            <w:vAlign w:val="center"/>
          </w:tcPr>
          <w:p w14:paraId="4932233C" w14:textId="77777777" w:rsidR="0038553D" w:rsidRDefault="00665DFC">
            <w:pPr>
              <w:pStyle w:val="TableContents"/>
            </w:pPr>
            <w:r>
              <w:t>Interest Groups</w:t>
            </w:r>
          </w:p>
        </w:tc>
        <w:tc>
          <w:tcPr>
            <w:tcW w:w="5700" w:type="dxa"/>
            <w:vAlign w:val="center"/>
          </w:tcPr>
          <w:p w14:paraId="237E9F0C" w14:textId="77777777" w:rsidR="0038553D" w:rsidRDefault="00665DFC">
            <w:pPr>
              <w:pStyle w:val="TableContents"/>
            </w:pPr>
            <w:r>
              <w:t>Ensures that residents have a voice and are heard.  Ensures a common interest to a public policy.</w:t>
            </w:r>
          </w:p>
        </w:tc>
        <w:tc>
          <w:tcPr>
            <w:tcW w:w="961" w:type="dxa"/>
            <w:vAlign w:val="center"/>
          </w:tcPr>
          <w:p w14:paraId="4BA85890" w14:textId="77777777" w:rsidR="0038553D" w:rsidRDefault="00665DFC">
            <w:pPr>
              <w:pStyle w:val="TableContents"/>
            </w:pPr>
            <w:r>
              <w:t>Positive or Negative</w:t>
            </w:r>
          </w:p>
        </w:tc>
      </w:tr>
      <w:tr w:rsidR="0038553D" w14:paraId="408887BB" w14:textId="77777777">
        <w:trPr>
          <w:trHeight w:val="630"/>
        </w:trPr>
        <w:tc>
          <w:tcPr>
            <w:tcW w:w="1904" w:type="dxa"/>
            <w:vAlign w:val="center"/>
          </w:tcPr>
          <w:p w14:paraId="6DB6F930" w14:textId="77777777" w:rsidR="0038553D" w:rsidRDefault="00665DFC">
            <w:pPr>
              <w:pStyle w:val="TableContents"/>
            </w:pPr>
            <w:r>
              <w:t>Local Businesses</w:t>
            </w:r>
          </w:p>
        </w:tc>
        <w:tc>
          <w:tcPr>
            <w:tcW w:w="5700" w:type="dxa"/>
            <w:vAlign w:val="center"/>
          </w:tcPr>
          <w:p w14:paraId="1F829496" w14:textId="77777777" w:rsidR="0038553D" w:rsidRDefault="00665DFC">
            <w:pPr>
              <w:pStyle w:val="TableContents"/>
            </w:pPr>
            <w:r>
              <w:t>Supply goods and services to citizens who live in the community.</w:t>
            </w:r>
          </w:p>
        </w:tc>
        <w:tc>
          <w:tcPr>
            <w:tcW w:w="961" w:type="dxa"/>
            <w:vAlign w:val="center"/>
          </w:tcPr>
          <w:p w14:paraId="6F8AF291" w14:textId="77777777" w:rsidR="0038553D" w:rsidRDefault="00665DFC">
            <w:pPr>
              <w:pStyle w:val="TableContents"/>
            </w:pPr>
            <w:r>
              <w:t>Positive</w:t>
            </w:r>
          </w:p>
        </w:tc>
      </w:tr>
      <w:tr w:rsidR="0038553D" w14:paraId="630ACF41" w14:textId="77777777">
        <w:trPr>
          <w:trHeight w:val="630"/>
        </w:trPr>
        <w:tc>
          <w:tcPr>
            <w:tcW w:w="1904" w:type="dxa"/>
            <w:vAlign w:val="center"/>
          </w:tcPr>
          <w:p w14:paraId="50CBEFDE" w14:textId="77777777" w:rsidR="0038553D" w:rsidRDefault="00665DFC">
            <w:pPr>
              <w:pStyle w:val="TableContents"/>
            </w:pPr>
            <w:r>
              <w:t>Churches</w:t>
            </w:r>
          </w:p>
        </w:tc>
        <w:tc>
          <w:tcPr>
            <w:tcW w:w="5700" w:type="dxa"/>
            <w:vAlign w:val="center"/>
          </w:tcPr>
          <w:p w14:paraId="3ABDF6CF" w14:textId="77777777" w:rsidR="0038553D" w:rsidRDefault="00665DFC">
            <w:pPr>
              <w:pStyle w:val="TableContents"/>
            </w:pPr>
            <w:r>
              <w:t>Members of the community who are concerned about the welfare of their church members.</w:t>
            </w:r>
          </w:p>
        </w:tc>
        <w:tc>
          <w:tcPr>
            <w:tcW w:w="961" w:type="dxa"/>
            <w:vAlign w:val="center"/>
          </w:tcPr>
          <w:p w14:paraId="24B230E7" w14:textId="77777777" w:rsidR="0038553D" w:rsidRDefault="00665DFC">
            <w:pPr>
              <w:pStyle w:val="TableContents"/>
            </w:pPr>
            <w:r>
              <w:t>Positive</w:t>
            </w:r>
          </w:p>
        </w:tc>
      </w:tr>
    </w:tbl>
    <w:p w14:paraId="30BDD970" w14:textId="77777777" w:rsidR="0038553D" w:rsidRDefault="0038553D">
      <w:pPr>
        <w:spacing w:line="480" w:lineRule="auto"/>
        <w:rPr>
          <w:rFonts w:ascii="Times New Roman" w:hAnsi="Times New Roman" w:cs="Times New Roman"/>
          <w:sz w:val="24"/>
          <w:szCs w:val="24"/>
        </w:rPr>
      </w:pPr>
    </w:p>
    <w:p w14:paraId="7E4B7BF2" w14:textId="77777777" w:rsidR="0038553D" w:rsidRDefault="00665DF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All of these unofficial actors are aware of the responsibility of landlords to provide proper maintenance and upgrades to their buildings.  Community services such as the Utility Department expect pipes and lines to be in working order to eliminate wasteful use of electricity and water.  Local businesses and churches thrive when their members are having their basic needs met at home.  People are more giving, helpful to others, and have goals to look forward to (Action, retrieved July 11, 2023).  </w:t>
      </w:r>
    </w:p>
    <w:p w14:paraId="30DEE016" w14:textId="77777777" w:rsidR="0038553D" w:rsidRDefault="00665DFC">
      <w:pPr>
        <w:spacing w:line="480" w:lineRule="auto"/>
      </w:pPr>
      <w:r>
        <w:rPr>
          <w:rFonts w:ascii="Times New Roman" w:hAnsi="Times New Roman" w:cs="Times New Roman"/>
          <w:sz w:val="24"/>
          <w:szCs w:val="24"/>
        </w:rPr>
        <w:tab/>
        <w:t>The Virginia Housing and Community Development Department (DHCD) has an Eviction Reduction Program to help detour evictions.  The program provides flexible financial assistance for those who are at risk of eviction, eviction preventive services, and mediation between landlords and tenants (Virginia, retrieved July 12, 2023).  DHCD also provides assistance to first-time home-buyers and tax credit programs to improve access to affordable housing (Virginia, retrieved July 12, 2023).  The DHCD has a lot of inf</w:t>
      </w:r>
      <w:r>
        <w:rPr>
          <w:rFonts w:ascii="Times New Roman" w:hAnsi="Times New Roman" w:cs="Times New Roman"/>
          <w:sz w:val="24"/>
          <w:szCs w:val="24"/>
        </w:rPr>
        <w:t xml:space="preserve">luence with the General Assembly to ensure funding is met to provide for these programs.  </w:t>
      </w:r>
    </w:p>
    <w:p w14:paraId="7147787E" w14:textId="77777777" w:rsidR="0038553D" w:rsidRDefault="00665DFC">
      <w:pPr>
        <w:spacing w:line="480" w:lineRule="auto"/>
      </w:pPr>
      <w:r>
        <w:rPr>
          <w:rFonts w:ascii="Times New Roman" w:hAnsi="Times New Roman" w:cs="Times New Roman"/>
          <w:sz w:val="24"/>
          <w:szCs w:val="24"/>
        </w:rPr>
        <w:tab/>
        <w:t>Building Contractors must be aware of the safety guidelines after the project is complete since people will be occupying the buildings.  In Virginia Beach, two infants were killed in two separate incidents (three months apart) due to window screens not being properly secured to the apartment building.  The families felt the property manager and the building owner should have known the windows were dangerous especially since this was the second occurrence (Family, retrieved July 10, 2023).</w:t>
      </w:r>
    </w:p>
    <w:p w14:paraId="5DE66512" w14:textId="77777777" w:rsidR="0038553D" w:rsidRDefault="00665DFC">
      <w:pPr>
        <w:spacing w:line="480" w:lineRule="auto"/>
      </w:pPr>
      <w:r>
        <w:rPr>
          <w:rFonts w:ascii="Times New Roman" w:hAnsi="Times New Roman" w:cs="Times New Roman"/>
          <w:sz w:val="24"/>
          <w:szCs w:val="24"/>
        </w:rPr>
        <w:tab/>
        <w:t>The Landlord Association can provide essential resources to help landlords better understand their responsibility to provide appropriate housing.  The Association can also provide landlords with attorneys who specialize in tenant complaints.  The Association is a firm supporter in landlord rights.</w:t>
      </w:r>
    </w:p>
    <w:p w14:paraId="6AC04192" w14:textId="77777777" w:rsidR="0038553D" w:rsidRDefault="00665DFC">
      <w:pPr>
        <w:spacing w:line="480" w:lineRule="auto"/>
      </w:pPr>
      <w:r>
        <w:rPr>
          <w:rFonts w:ascii="Times New Roman" w:hAnsi="Times New Roman" w:cs="Times New Roman"/>
          <w:sz w:val="24"/>
          <w:szCs w:val="24"/>
        </w:rPr>
        <w:tab/>
        <w:t>In the Agenda Universe, “all ideas could arise and be discussed in a society or political system” (Birkland, p. 211).  Agenda setting in the policy making process is crucial to the process of identifying the problem.   The group who can create and promote the most effective depiction of an issue has an advantage in the battle over what will be done about the problem (</w:t>
      </w:r>
      <w:proofErr w:type="spellStart"/>
      <w:r>
        <w:rPr>
          <w:rFonts w:ascii="Times New Roman" w:hAnsi="Times New Roman" w:cs="Times New Roman"/>
          <w:sz w:val="24"/>
          <w:szCs w:val="24"/>
        </w:rPr>
        <w:t>Brikland</w:t>
      </w:r>
      <w:proofErr w:type="spellEnd"/>
      <w:r>
        <w:rPr>
          <w:rFonts w:ascii="Times New Roman" w:hAnsi="Times New Roman" w:cs="Times New Roman"/>
          <w:sz w:val="24"/>
          <w:szCs w:val="24"/>
        </w:rPr>
        <w:t xml:space="preserve">, p.220).  In this case, the Habitability Law is being influenced mostly by political elites and interest groups who want to ensure tenant safety.  Less powerful groups can use grassroots efforts to try to overcome the difference in influence in more powerful groups.  Funding is often difficult for these individuals so it would be vital for them to directly sway their House of Delegates representative or local government officials.   </w:t>
      </w:r>
    </w:p>
    <w:p w14:paraId="6CA07CAA" w14:textId="146522A8" w:rsidR="0038553D" w:rsidRDefault="00665DFC">
      <w:pPr>
        <w:spacing w:line="480" w:lineRule="auto"/>
      </w:pPr>
      <w:r>
        <w:rPr>
          <w:rFonts w:ascii="Times New Roman" w:hAnsi="Times New Roman" w:cs="Times New Roman"/>
          <w:sz w:val="24"/>
          <w:szCs w:val="24"/>
        </w:rPr>
        <w:tab/>
        <w:t>Strategic aspects of the problem definition include using a focusing event to bring awareness of a topic.  One example occurred in Lynchburg, Virginia.  An apartment complex caught on fire due to poor wiring of a</w:t>
      </w:r>
      <w:r w:rsidR="008B752C">
        <w:rPr>
          <w:rFonts w:ascii="Times New Roman" w:hAnsi="Times New Roman" w:cs="Times New Roman"/>
          <w:sz w:val="24"/>
          <w:szCs w:val="24"/>
        </w:rPr>
        <w:t xml:space="preserve"> bathroom</w:t>
      </w:r>
      <w:r>
        <w:rPr>
          <w:rFonts w:ascii="Times New Roman" w:hAnsi="Times New Roman" w:cs="Times New Roman"/>
          <w:sz w:val="24"/>
          <w:szCs w:val="24"/>
        </w:rPr>
        <w:t xml:space="preserve"> exhaust fan </w:t>
      </w:r>
      <w:r>
        <w:rPr>
          <w:rFonts w:ascii="Times New Roman" w:hAnsi="Times New Roman" w:cs="Times New Roman"/>
          <w:sz w:val="24"/>
          <w:szCs w:val="24"/>
        </w:rPr>
        <w:t xml:space="preserve">affecting ten apartments (Residents, retrieved July 14, 2023).  This is a fundamental reason the Habitability Law was created to ensure landlords are doing proper maintenance on their buildings.  </w:t>
      </w:r>
    </w:p>
    <w:p w14:paraId="63DB84E9" w14:textId="258FBD47" w:rsidR="0038553D" w:rsidRDefault="00665DFC">
      <w:pPr>
        <w:spacing w:line="480" w:lineRule="auto"/>
      </w:pPr>
      <w:r>
        <w:rPr>
          <w:rFonts w:ascii="Times New Roman" w:hAnsi="Times New Roman" w:cs="Times New Roman"/>
          <w:sz w:val="24"/>
          <w:szCs w:val="24"/>
        </w:rPr>
        <w:tab/>
        <w:t xml:space="preserve">Another strategic approach is using symbols. Several examples for the Habitability Law </w:t>
      </w:r>
      <w:r w:rsidR="008B752C">
        <w:rPr>
          <w:rFonts w:ascii="Times New Roman" w:hAnsi="Times New Roman" w:cs="Times New Roman"/>
          <w:sz w:val="24"/>
          <w:szCs w:val="24"/>
        </w:rPr>
        <w:t>include</w:t>
      </w:r>
      <w:r>
        <w:rPr>
          <w:rFonts w:ascii="Times New Roman" w:hAnsi="Times New Roman" w:cs="Times New Roman"/>
          <w:sz w:val="24"/>
          <w:szCs w:val="24"/>
        </w:rPr>
        <w:t xml:space="preserve"> the image of a child holding a blanket during an apartment fire, someone’s death or the death of a beloved pet, or someone hurt falling down dilapidated steps.  All of these images help to advance their argument that landlord oversight is needed.  </w:t>
      </w:r>
    </w:p>
    <w:p w14:paraId="7786C1EC" w14:textId="77777777" w:rsidR="0038553D" w:rsidRDefault="00665DFC">
      <w:pPr>
        <w:spacing w:line="480" w:lineRule="auto"/>
      </w:pPr>
      <w:r>
        <w:rPr>
          <w:rFonts w:ascii="Times New Roman" w:hAnsi="Times New Roman" w:cs="Times New Roman"/>
          <w:sz w:val="24"/>
          <w:szCs w:val="24"/>
        </w:rPr>
        <w:tab/>
        <w:t>Problem indicators also help make the point of change by using aggregate data.  The use of numbers in policy debates appear to have realistic value to some members of interest groups.  Recently, two Virginia landlords had to pay $225,000 in violations due to the Service-members Civil Relief Act.  In this case, a service member was unjustly evicted from their apartments because they failed to identify them as members of the military (Department. Retrieved July 14, 2023).  The fine was a significant amount o</w:t>
      </w:r>
      <w:r>
        <w:rPr>
          <w:rFonts w:ascii="Times New Roman" w:hAnsi="Times New Roman" w:cs="Times New Roman"/>
          <w:sz w:val="24"/>
          <w:szCs w:val="24"/>
        </w:rPr>
        <w:t>f money that could have been prevented if the landlord had known the legal requirement of listing his military status in the lease agreement.</w:t>
      </w:r>
    </w:p>
    <w:p w14:paraId="07CA6E6D" w14:textId="77777777" w:rsidR="0038553D" w:rsidRDefault="00665DFC">
      <w:pPr>
        <w:spacing w:line="480" w:lineRule="auto"/>
      </w:pPr>
      <w:r>
        <w:rPr>
          <w:rFonts w:ascii="Times New Roman" w:hAnsi="Times New Roman" w:cs="Times New Roman"/>
          <w:sz w:val="24"/>
          <w:szCs w:val="24"/>
        </w:rPr>
        <w:tab/>
        <w:t xml:space="preserve">“Changes in indicators and focusing events may bring the issue to greater knowledge and policy-maker attention and at the same time may induce groups to form coalitions to promote their common interests.  These coalitions can attract greater attention from policy makers and create greater access to the policy-making process, thereby balancing the power of the elites” (Birkland, p.235).  The unofficial actors can use venues to establish a connection with policy makers such as the media and other regulatory </w:t>
      </w:r>
      <w:r>
        <w:rPr>
          <w:rFonts w:ascii="Times New Roman" w:hAnsi="Times New Roman" w:cs="Times New Roman"/>
          <w:sz w:val="24"/>
          <w:szCs w:val="24"/>
        </w:rPr>
        <w:t>agencies.  They can present their case in front of congressional committees and subcommittees.  Other agencies that might find their topic sympathetic, or they may find it easier to advance the topic at the local level instead of the state.  Groups that use their power effectively are often more successful getting their agenda passed.</w:t>
      </w:r>
    </w:p>
    <w:p w14:paraId="7BFB1074" w14:textId="77777777" w:rsidR="0038553D" w:rsidRDefault="0038553D">
      <w:pPr>
        <w:rPr>
          <w:rFonts w:ascii="Times New Roman" w:hAnsi="Times New Roman" w:cs="Times New Roman"/>
          <w:sz w:val="24"/>
          <w:szCs w:val="24"/>
        </w:rPr>
      </w:pPr>
    </w:p>
    <w:p w14:paraId="69B32F92" w14:textId="77777777" w:rsidR="0038553D" w:rsidRDefault="0038553D">
      <w:pPr>
        <w:rPr>
          <w:rFonts w:ascii="Times New Roman" w:hAnsi="Times New Roman" w:cs="Times New Roman"/>
          <w:sz w:val="24"/>
          <w:szCs w:val="24"/>
        </w:rPr>
      </w:pPr>
    </w:p>
    <w:p w14:paraId="1A34D094" w14:textId="77777777" w:rsidR="0038553D" w:rsidRDefault="0038553D">
      <w:pPr>
        <w:rPr>
          <w:rFonts w:ascii="Times New Roman" w:hAnsi="Times New Roman" w:cs="Times New Roman"/>
          <w:sz w:val="24"/>
          <w:szCs w:val="24"/>
        </w:rPr>
      </w:pPr>
    </w:p>
    <w:p w14:paraId="77327DC0" w14:textId="77777777" w:rsidR="0038553D" w:rsidRDefault="0038553D">
      <w:pPr>
        <w:rPr>
          <w:rFonts w:ascii="Times New Roman" w:hAnsi="Times New Roman" w:cs="Times New Roman"/>
          <w:sz w:val="24"/>
          <w:szCs w:val="24"/>
        </w:rPr>
      </w:pPr>
    </w:p>
    <w:p w14:paraId="670F3399" w14:textId="77777777" w:rsidR="0038553D" w:rsidRDefault="00665DFC">
      <w:pPr>
        <w:rPr>
          <w:rFonts w:ascii="Times New Roman" w:hAnsi="Times New Roman" w:cs="Times New Roman"/>
          <w:sz w:val="24"/>
          <w:szCs w:val="24"/>
        </w:rPr>
      </w:pPr>
      <w:r>
        <w:rPr>
          <w:rFonts w:ascii="Times New Roman" w:hAnsi="Times New Roman" w:cs="Times New Roman"/>
          <w:sz w:val="24"/>
          <w:szCs w:val="24"/>
        </w:rPr>
        <w:t xml:space="preserve"> </w:t>
      </w:r>
    </w:p>
    <w:p w14:paraId="4D3B505E" w14:textId="77777777" w:rsidR="0038553D" w:rsidRDefault="0038553D">
      <w:pPr>
        <w:rPr>
          <w:rFonts w:ascii="Times New Roman" w:hAnsi="Times New Roman" w:cs="Times New Roman"/>
          <w:sz w:val="24"/>
          <w:szCs w:val="24"/>
        </w:rPr>
      </w:pPr>
    </w:p>
    <w:p w14:paraId="7787138A" w14:textId="77777777" w:rsidR="0038553D" w:rsidRDefault="0038553D">
      <w:pPr>
        <w:rPr>
          <w:rFonts w:ascii="Times New Roman" w:hAnsi="Times New Roman" w:cs="Times New Roman"/>
          <w:sz w:val="24"/>
          <w:szCs w:val="24"/>
        </w:rPr>
      </w:pPr>
    </w:p>
    <w:p w14:paraId="14059CD5" w14:textId="77777777" w:rsidR="0038553D" w:rsidRDefault="0038553D">
      <w:pPr>
        <w:rPr>
          <w:rFonts w:ascii="Times New Roman" w:hAnsi="Times New Roman" w:cs="Times New Roman"/>
          <w:sz w:val="24"/>
          <w:szCs w:val="24"/>
        </w:rPr>
      </w:pPr>
    </w:p>
    <w:p w14:paraId="365E490F" w14:textId="77777777" w:rsidR="0038553D" w:rsidRDefault="0038553D">
      <w:pPr>
        <w:rPr>
          <w:rFonts w:ascii="Times New Roman" w:hAnsi="Times New Roman" w:cs="Times New Roman"/>
          <w:sz w:val="24"/>
          <w:szCs w:val="24"/>
        </w:rPr>
      </w:pPr>
    </w:p>
    <w:p w14:paraId="5A258855" w14:textId="77777777" w:rsidR="0038553D" w:rsidRDefault="0038553D">
      <w:pPr>
        <w:rPr>
          <w:rFonts w:ascii="Times New Roman" w:hAnsi="Times New Roman" w:cs="Times New Roman"/>
          <w:sz w:val="24"/>
          <w:szCs w:val="24"/>
        </w:rPr>
      </w:pPr>
    </w:p>
    <w:p w14:paraId="6CEC1472" w14:textId="77777777" w:rsidR="0038553D" w:rsidRDefault="0038553D">
      <w:pPr>
        <w:rPr>
          <w:rFonts w:ascii="Times New Roman" w:hAnsi="Times New Roman" w:cs="Times New Roman"/>
          <w:sz w:val="24"/>
          <w:szCs w:val="24"/>
        </w:rPr>
      </w:pPr>
    </w:p>
    <w:p w14:paraId="37D94503" w14:textId="77777777" w:rsidR="0038553D" w:rsidRDefault="0038553D">
      <w:pPr>
        <w:rPr>
          <w:rFonts w:ascii="Times New Roman" w:hAnsi="Times New Roman" w:cs="Times New Roman"/>
          <w:sz w:val="24"/>
          <w:szCs w:val="24"/>
        </w:rPr>
      </w:pPr>
    </w:p>
    <w:p w14:paraId="253957A3" w14:textId="77777777" w:rsidR="0038553D" w:rsidRDefault="0038553D">
      <w:pPr>
        <w:rPr>
          <w:rFonts w:ascii="Times New Roman" w:hAnsi="Times New Roman" w:cs="Times New Roman"/>
          <w:sz w:val="24"/>
          <w:szCs w:val="24"/>
        </w:rPr>
      </w:pPr>
    </w:p>
    <w:p w14:paraId="23E3D000" w14:textId="77777777" w:rsidR="0038553D" w:rsidRDefault="0038553D">
      <w:pPr>
        <w:rPr>
          <w:rFonts w:ascii="Times New Roman" w:hAnsi="Times New Roman" w:cs="Times New Roman"/>
          <w:sz w:val="24"/>
          <w:szCs w:val="24"/>
        </w:rPr>
      </w:pPr>
    </w:p>
    <w:p w14:paraId="75AF43EC" w14:textId="77777777" w:rsidR="0038553D" w:rsidRDefault="0038553D">
      <w:pPr>
        <w:rPr>
          <w:rFonts w:ascii="Times New Roman" w:hAnsi="Times New Roman" w:cs="Times New Roman"/>
          <w:sz w:val="24"/>
          <w:szCs w:val="24"/>
        </w:rPr>
      </w:pPr>
    </w:p>
    <w:p w14:paraId="5FCDB037" w14:textId="77777777" w:rsidR="0038553D" w:rsidRDefault="0038553D">
      <w:pPr>
        <w:rPr>
          <w:rFonts w:ascii="Times New Roman" w:hAnsi="Times New Roman" w:cs="Times New Roman"/>
          <w:sz w:val="24"/>
          <w:szCs w:val="24"/>
        </w:rPr>
      </w:pPr>
    </w:p>
    <w:p w14:paraId="70EE1501" w14:textId="77777777" w:rsidR="0038553D" w:rsidRDefault="0038553D">
      <w:pPr>
        <w:rPr>
          <w:rFonts w:ascii="Times New Roman" w:hAnsi="Times New Roman" w:cs="Times New Roman"/>
          <w:sz w:val="24"/>
          <w:szCs w:val="24"/>
        </w:rPr>
      </w:pPr>
    </w:p>
    <w:p w14:paraId="78A8BE32" w14:textId="77777777" w:rsidR="0038553D" w:rsidRDefault="0038553D">
      <w:pPr>
        <w:rPr>
          <w:rFonts w:ascii="Times New Roman" w:hAnsi="Times New Roman" w:cs="Times New Roman"/>
          <w:sz w:val="24"/>
          <w:szCs w:val="24"/>
        </w:rPr>
      </w:pPr>
    </w:p>
    <w:p w14:paraId="7C9587A9" w14:textId="77777777" w:rsidR="0038553D" w:rsidRDefault="0038553D">
      <w:pPr>
        <w:rPr>
          <w:rFonts w:ascii="Times New Roman" w:hAnsi="Times New Roman" w:cs="Times New Roman"/>
          <w:sz w:val="24"/>
          <w:szCs w:val="24"/>
        </w:rPr>
      </w:pPr>
    </w:p>
    <w:p w14:paraId="0F825635" w14:textId="77777777" w:rsidR="0038553D" w:rsidRDefault="00665DFC">
      <w:pPr>
        <w:jc w:val="center"/>
      </w:pPr>
      <w:r>
        <w:rPr>
          <w:rFonts w:ascii="Times New Roman" w:hAnsi="Times New Roman" w:cs="Times New Roman"/>
          <w:sz w:val="24"/>
          <w:szCs w:val="24"/>
        </w:rPr>
        <w:t>References</w:t>
      </w:r>
    </w:p>
    <w:p w14:paraId="1631F3D1" w14:textId="77777777" w:rsidR="0038553D" w:rsidRDefault="0038553D">
      <w:pPr>
        <w:jc w:val="center"/>
        <w:rPr>
          <w:rFonts w:ascii="Times New Roman" w:hAnsi="Times New Roman" w:cs="Times New Roman"/>
          <w:sz w:val="24"/>
          <w:szCs w:val="24"/>
        </w:rPr>
      </w:pPr>
    </w:p>
    <w:p w14:paraId="1563541F" w14:textId="77777777" w:rsidR="0038553D" w:rsidRDefault="00665DFC">
      <w:r>
        <w:rPr>
          <w:rFonts w:ascii="Times New Roman" w:hAnsi="Times New Roman" w:cs="Times New Roman"/>
          <w:sz w:val="24"/>
          <w:szCs w:val="24"/>
        </w:rPr>
        <w:t xml:space="preserve">Bill Tracking.  Virginia Code 55-225.3.  Retrieved July 10, 2023. </w:t>
      </w:r>
    </w:p>
    <w:p w14:paraId="1E9EEFC6" w14:textId="77777777" w:rsidR="0038553D" w:rsidRDefault="00665DFC">
      <w:r>
        <w:rPr>
          <w:rFonts w:ascii="Times New Roman" w:hAnsi="Times New Roman" w:cs="Times New Roman"/>
          <w:sz w:val="24"/>
          <w:szCs w:val="24"/>
        </w:rPr>
        <w:tab/>
      </w:r>
      <w:hyperlink r:id="rId6">
        <w:r>
          <w:rPr>
            <w:rStyle w:val="InternetLink"/>
            <w:rFonts w:ascii="Times New Roman" w:hAnsi="Times New Roman" w:cs="Times New Roman"/>
            <w:sz w:val="24"/>
            <w:szCs w:val="24"/>
          </w:rPr>
          <w:t>http://LIS.virginia.gov/cgi-bin/legp604.exe</w:t>
        </w:r>
      </w:hyperlink>
      <w:r>
        <w:rPr>
          <w:rFonts w:ascii="Times New Roman" w:hAnsi="Times New Roman" w:cs="Times New Roman"/>
          <w:sz w:val="24"/>
          <w:szCs w:val="24"/>
        </w:rPr>
        <w:t xml:space="preserve"> </w:t>
      </w:r>
    </w:p>
    <w:p w14:paraId="52612F7C" w14:textId="77777777" w:rsidR="0038553D" w:rsidRDefault="00665DFC">
      <w:r>
        <w:rPr>
          <w:rFonts w:ascii="Times New Roman" w:hAnsi="Times New Roman" w:cs="Times New Roman"/>
          <w:sz w:val="24"/>
          <w:szCs w:val="24"/>
        </w:rPr>
        <w:t xml:space="preserve">Brinkland, Thomas A., 2020. An Introduction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Policy Process Theories, Concepts,</w:t>
      </w:r>
    </w:p>
    <w:p w14:paraId="7567767E" w14:textId="77777777" w:rsidR="0038553D" w:rsidRDefault="00665DFC">
      <w:r>
        <w:rPr>
          <w:rFonts w:ascii="Times New Roman" w:hAnsi="Times New Roman" w:cs="Times New Roman"/>
          <w:sz w:val="24"/>
          <w:szCs w:val="24"/>
        </w:rPr>
        <w:tab/>
        <w:t>And Models of Public Policy Making.  Routledge. 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14:paraId="1D39C6CC" w14:textId="77777777" w:rsidR="0038553D" w:rsidRDefault="00665DFC">
      <w:r>
        <w:rPr>
          <w:rFonts w:ascii="Times New Roman" w:hAnsi="Times New Roman" w:cs="Times New Roman"/>
          <w:sz w:val="24"/>
          <w:szCs w:val="24"/>
        </w:rPr>
        <w:t>Department of Housing and Community Development.  Retrieved July 10, 2023.</w:t>
      </w:r>
    </w:p>
    <w:p w14:paraId="4C8C3FDF" w14:textId="77777777" w:rsidR="0038553D" w:rsidRDefault="00665DFC">
      <w:r>
        <w:rPr>
          <w:rFonts w:ascii="Times New Roman" w:hAnsi="Times New Roman" w:cs="Times New Roman"/>
          <w:sz w:val="24"/>
          <w:szCs w:val="24"/>
        </w:rPr>
        <w:tab/>
      </w:r>
      <w:hyperlink r:id="rId7">
        <w:r>
          <w:rPr>
            <w:rStyle w:val="InternetLink"/>
            <w:rFonts w:ascii="Times New Roman" w:hAnsi="Times New Roman" w:cs="Times New Roman"/>
            <w:sz w:val="24"/>
            <w:szCs w:val="24"/>
          </w:rPr>
          <w:t>http://dhcd.virginia.gov</w:t>
        </w:r>
      </w:hyperlink>
      <w:r>
        <w:rPr>
          <w:rFonts w:ascii="Times New Roman" w:hAnsi="Times New Roman" w:cs="Times New Roman"/>
          <w:sz w:val="24"/>
          <w:szCs w:val="24"/>
        </w:rPr>
        <w:t xml:space="preserve"> </w:t>
      </w:r>
    </w:p>
    <w:p w14:paraId="3B7B3DF5" w14:textId="77777777" w:rsidR="0038553D" w:rsidRDefault="00665DFC">
      <w:r>
        <w:rPr>
          <w:rFonts w:ascii="Times New Roman" w:hAnsi="Times New Roman" w:cs="Times New Roman"/>
          <w:sz w:val="24"/>
          <w:szCs w:val="24"/>
        </w:rPr>
        <w:t>Department of Justice.  Landlords pay violations.  Retrieved July 14, 2023.</w:t>
      </w:r>
    </w:p>
    <w:p w14:paraId="0204A1B8" w14:textId="77777777" w:rsidR="0038553D" w:rsidRDefault="00665DFC">
      <w:r>
        <w:rPr>
          <w:rFonts w:ascii="Times New Roman" w:hAnsi="Times New Roman" w:cs="Times New Roman"/>
          <w:sz w:val="24"/>
          <w:szCs w:val="24"/>
        </w:rPr>
        <w:tab/>
      </w:r>
      <w:hyperlink r:id="rId8">
        <w:r>
          <w:rPr>
            <w:rStyle w:val="InternetLink"/>
            <w:rFonts w:ascii="Times New Roman" w:hAnsi="Times New Roman" w:cs="Times New Roman"/>
            <w:sz w:val="24"/>
            <w:szCs w:val="24"/>
          </w:rPr>
          <w:t>https://www.justice.gov/opa/pr/virginia-landlords-pay-225000-violations</w:t>
        </w:r>
      </w:hyperlink>
      <w:r>
        <w:rPr>
          <w:rFonts w:ascii="Times New Roman" w:hAnsi="Times New Roman" w:cs="Times New Roman"/>
          <w:sz w:val="24"/>
          <w:szCs w:val="24"/>
        </w:rPr>
        <w:t xml:space="preserve"> </w:t>
      </w:r>
    </w:p>
    <w:p w14:paraId="06BCCECA" w14:textId="77777777" w:rsidR="0038553D" w:rsidRDefault="00665DFC">
      <w:r>
        <w:rPr>
          <w:rFonts w:ascii="Times New Roman" w:hAnsi="Times New Roman" w:cs="Times New Roman"/>
          <w:sz w:val="24"/>
          <w:szCs w:val="24"/>
        </w:rPr>
        <w:t xml:space="preserve">Family Sues After Another Child Falls to Death from same Virginia Apartment Building.  </w:t>
      </w:r>
    </w:p>
    <w:p w14:paraId="1455BEAE" w14:textId="77777777" w:rsidR="0038553D" w:rsidRDefault="00665DFC">
      <w:r>
        <w:rPr>
          <w:rFonts w:ascii="Times New Roman" w:hAnsi="Times New Roman" w:cs="Times New Roman"/>
          <w:sz w:val="24"/>
          <w:szCs w:val="24"/>
        </w:rPr>
        <w:tab/>
        <w:t xml:space="preserve">Retrieved July 10, 2023.  </w:t>
      </w:r>
    </w:p>
    <w:p w14:paraId="3880D286" w14:textId="77777777" w:rsidR="0038553D" w:rsidRDefault="00665DFC">
      <w:r>
        <w:rPr>
          <w:rFonts w:ascii="Times New Roman" w:hAnsi="Times New Roman" w:cs="Times New Roman"/>
          <w:sz w:val="24"/>
          <w:szCs w:val="24"/>
        </w:rPr>
        <w:tab/>
      </w:r>
      <w:hyperlink r:id="rId9">
        <w:r>
          <w:rPr>
            <w:rStyle w:val="InternetLink"/>
            <w:rFonts w:ascii="Times New Roman" w:hAnsi="Times New Roman" w:cs="Times New Roman"/>
            <w:sz w:val="24"/>
            <w:szCs w:val="24"/>
          </w:rPr>
          <w:t>https://nbcwashington.com/news/local/family-sues-a-day-after-second-child-falls</w:t>
        </w:r>
      </w:hyperlink>
      <w:r>
        <w:rPr>
          <w:rFonts w:ascii="Times New Roman" w:hAnsi="Times New Roman" w:cs="Times New Roman"/>
          <w:sz w:val="24"/>
          <w:szCs w:val="24"/>
        </w:rPr>
        <w:t xml:space="preserve"> </w:t>
      </w:r>
    </w:p>
    <w:p w14:paraId="4119278C" w14:textId="77777777" w:rsidR="0038553D" w:rsidRDefault="00665DFC">
      <w:r>
        <w:rPr>
          <w:rFonts w:ascii="Times New Roman" w:hAnsi="Times New Roman" w:cs="Times New Roman"/>
          <w:sz w:val="24"/>
          <w:szCs w:val="24"/>
        </w:rPr>
        <w:t xml:space="preserve">Residents displaced by fire.  Retrieved July 14, 2023.  </w:t>
      </w:r>
    </w:p>
    <w:p w14:paraId="7D0F0551" w14:textId="77777777" w:rsidR="0038553D" w:rsidRDefault="00665DFC">
      <w:r>
        <w:rPr>
          <w:rFonts w:ascii="Times New Roman" w:hAnsi="Times New Roman" w:cs="Times New Roman"/>
          <w:sz w:val="24"/>
          <w:szCs w:val="24"/>
        </w:rPr>
        <w:tab/>
      </w:r>
      <w:hyperlink r:id="rId10">
        <w:r>
          <w:rPr>
            <w:rStyle w:val="InternetLink"/>
            <w:rFonts w:ascii="Times New Roman" w:hAnsi="Times New Roman" w:cs="Times New Roman"/>
            <w:sz w:val="24"/>
            <w:szCs w:val="24"/>
          </w:rPr>
          <w:t>https://www.wfxrtv.com/news/local-news/lynchburg-central-virginia-news/residents</w:t>
        </w:r>
      </w:hyperlink>
      <w:r>
        <w:rPr>
          <w:rFonts w:ascii="Times New Roman" w:hAnsi="Times New Roman" w:cs="Times New Roman"/>
          <w:sz w:val="24"/>
          <w:szCs w:val="24"/>
        </w:rPr>
        <w:t xml:space="preserve"> </w:t>
      </w:r>
    </w:p>
    <w:p w14:paraId="444BDE00" w14:textId="77777777" w:rsidR="0038553D" w:rsidRDefault="00665DFC">
      <w:pPr>
        <w:rPr>
          <w:rFonts w:ascii="Times New Roman" w:hAnsi="Times New Roman" w:cs="Times New Roman"/>
          <w:sz w:val="24"/>
          <w:szCs w:val="24"/>
        </w:rPr>
      </w:pPr>
      <w:r>
        <w:rPr>
          <w:rFonts w:ascii="Times New Roman" w:hAnsi="Times New Roman" w:cs="Times New Roman"/>
          <w:sz w:val="24"/>
          <w:szCs w:val="24"/>
        </w:rPr>
        <w:t>10 Keys to a Happier Living / Action for Happiness.  Retrieved July 11, 2023.</w:t>
      </w:r>
    </w:p>
    <w:p w14:paraId="2D907D4B" w14:textId="77777777" w:rsidR="0038553D" w:rsidRDefault="00665DFC">
      <w:r>
        <w:rPr>
          <w:rFonts w:ascii="Times New Roman" w:hAnsi="Times New Roman" w:cs="Times New Roman"/>
          <w:sz w:val="24"/>
          <w:szCs w:val="24"/>
        </w:rPr>
        <w:tab/>
      </w:r>
      <w:hyperlink r:id="rId11">
        <w:r>
          <w:rPr>
            <w:rStyle w:val="InternetLink"/>
            <w:rFonts w:ascii="Times New Roman" w:hAnsi="Times New Roman" w:cs="Times New Roman"/>
            <w:sz w:val="24"/>
            <w:szCs w:val="24"/>
          </w:rPr>
          <w:t>https://actionforhappiness.org</w:t>
        </w:r>
      </w:hyperlink>
      <w:r>
        <w:rPr>
          <w:rFonts w:ascii="Times New Roman" w:hAnsi="Times New Roman" w:cs="Times New Roman"/>
          <w:sz w:val="24"/>
          <w:szCs w:val="24"/>
        </w:rPr>
        <w:t xml:space="preserve"> </w:t>
      </w:r>
    </w:p>
    <w:p w14:paraId="1B23712D" w14:textId="77777777" w:rsidR="0038553D" w:rsidRDefault="00665DFC">
      <w:pPr>
        <w:rPr>
          <w:rFonts w:ascii="Times New Roman" w:hAnsi="Times New Roman" w:cs="Times New Roman"/>
          <w:sz w:val="24"/>
          <w:szCs w:val="24"/>
        </w:rPr>
      </w:pPr>
      <w:r>
        <w:rPr>
          <w:rFonts w:ascii="Times New Roman" w:hAnsi="Times New Roman" w:cs="Times New Roman"/>
          <w:sz w:val="24"/>
          <w:szCs w:val="24"/>
        </w:rPr>
        <w:t xml:space="preserve">Virginia Department of Housing and Community Development.  Virginia Eviction Reduction </w:t>
      </w:r>
    </w:p>
    <w:p w14:paraId="39B99767" w14:textId="77777777" w:rsidR="0038553D" w:rsidRDefault="00665DFC">
      <w:pPr>
        <w:rPr>
          <w:rFonts w:ascii="Times New Roman" w:hAnsi="Times New Roman" w:cs="Times New Roman"/>
          <w:sz w:val="24"/>
          <w:szCs w:val="24"/>
        </w:rPr>
      </w:pPr>
      <w:r>
        <w:rPr>
          <w:rFonts w:ascii="Times New Roman" w:hAnsi="Times New Roman" w:cs="Times New Roman"/>
          <w:sz w:val="24"/>
          <w:szCs w:val="24"/>
        </w:rPr>
        <w:tab/>
        <w:t xml:space="preserve">Pilot (VERP).  Retrieved July 12, 2023). </w:t>
      </w:r>
      <w:hyperlink r:id="rId12">
        <w:r>
          <w:rPr>
            <w:rStyle w:val="InternetLink"/>
            <w:rFonts w:ascii="Times New Roman" w:hAnsi="Times New Roman" w:cs="Times New Roman"/>
            <w:sz w:val="24"/>
            <w:szCs w:val="24"/>
          </w:rPr>
          <w:t>https://dhcd.virginia.gov</w:t>
        </w:r>
      </w:hyperlink>
      <w:r>
        <w:rPr>
          <w:rFonts w:ascii="Times New Roman" w:hAnsi="Times New Roman" w:cs="Times New Roman"/>
          <w:sz w:val="24"/>
          <w:szCs w:val="24"/>
        </w:rPr>
        <w:t xml:space="preserve"> </w:t>
      </w:r>
    </w:p>
    <w:p w14:paraId="1FF20BE8" w14:textId="77777777" w:rsidR="0038553D" w:rsidRDefault="0038553D"/>
    <w:sectPr w:rsidR="0038553D">
      <w:headerReference w:type="default" r:id="rId13"/>
      <w:pgSz w:w="12240" w:h="15840"/>
      <w:pgMar w:top="1440" w:right="1440" w:bottom="1440" w:left="1440" w:header="72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AD6D2" w14:textId="77777777" w:rsidR="00665DFC" w:rsidRDefault="00665DFC">
      <w:pPr>
        <w:spacing w:after="0" w:line="240" w:lineRule="auto"/>
      </w:pPr>
      <w:r>
        <w:separator/>
      </w:r>
    </w:p>
  </w:endnote>
  <w:endnote w:type="continuationSeparator" w:id="0">
    <w:p w14:paraId="2FEADB1B" w14:textId="77777777" w:rsidR="00665DFC" w:rsidRDefault="00665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215E7" w14:textId="77777777" w:rsidR="00665DFC" w:rsidRDefault="00665DFC">
      <w:pPr>
        <w:spacing w:after="0" w:line="240" w:lineRule="auto"/>
      </w:pPr>
      <w:r>
        <w:separator/>
      </w:r>
    </w:p>
  </w:footnote>
  <w:footnote w:type="continuationSeparator" w:id="0">
    <w:p w14:paraId="4093281A" w14:textId="77777777" w:rsidR="00665DFC" w:rsidRDefault="00665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B56B9" w14:textId="77777777" w:rsidR="0038553D" w:rsidRDefault="00665DFC">
    <w:pPr>
      <w:pStyle w:val="Header"/>
    </w:pPr>
    <w:r>
      <w:t>Loftis, Pamela</w:t>
    </w:r>
  </w:p>
  <w:p w14:paraId="06AADB17" w14:textId="77777777" w:rsidR="0038553D" w:rsidRDefault="00665DFC">
    <w:pPr>
      <w:pStyle w:val="Header"/>
    </w:pPr>
    <w:r>
      <w:t>Part #3   PAPA 6214</w:t>
    </w:r>
  </w:p>
  <w:p w14:paraId="63A3B9B3" w14:textId="77777777" w:rsidR="0038553D" w:rsidRDefault="0038553D">
    <w:pPr>
      <w:pStyle w:val="Header"/>
    </w:pPr>
  </w:p>
  <w:sdt>
    <w:sdtPr>
      <w:id w:val="1517755287"/>
      <w:docPartObj>
        <w:docPartGallery w:val="Page Numbers (Top of Page)"/>
        <w:docPartUnique/>
      </w:docPartObj>
    </w:sdtPr>
    <w:sdtEndPr/>
    <w:sdtContent>
      <w:p w14:paraId="1B17F8A6" w14:textId="77777777" w:rsidR="0038553D" w:rsidRDefault="00665DFC">
        <w:pPr>
          <w:pStyle w:val="Header"/>
        </w:pPr>
        <w:r>
          <w:t xml:space="preserve">Page </w:t>
        </w:r>
        <w:r>
          <w:fldChar w:fldCharType="begin"/>
        </w:r>
        <w:r>
          <w:instrText>PAGE</w:instrText>
        </w:r>
        <w:r>
          <w:fldChar w:fldCharType="separate"/>
        </w:r>
        <w:r>
          <w:t>7</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3D"/>
    <w:rsid w:val="0038553D"/>
    <w:rsid w:val="00665DFC"/>
    <w:rsid w:val="008B752C"/>
    <w:rsid w:val="00DB1C2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3DE1C"/>
  <w15:docId w15:val="{DCAE4B4B-B9FD-42CC-BB14-17238247E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D933FF"/>
  </w:style>
  <w:style w:type="character" w:customStyle="1" w:styleId="FooterChar">
    <w:name w:val="Footer Char"/>
    <w:basedOn w:val="DefaultParagraphFont"/>
    <w:link w:val="Footer"/>
    <w:uiPriority w:val="99"/>
    <w:qFormat/>
    <w:rsid w:val="00D933FF"/>
  </w:style>
  <w:style w:type="character" w:customStyle="1" w:styleId="InternetLink">
    <w:name w:val="Internet Link"/>
    <w:basedOn w:val="DefaultParagraphFont"/>
    <w:uiPriority w:val="99"/>
    <w:unhideWhenUsed/>
    <w:rsid w:val="00FF45D1"/>
    <w:rPr>
      <w:color w:val="0563C1" w:themeColor="hyperlink"/>
      <w:u w:val="single"/>
    </w:rPr>
  </w:style>
  <w:style w:type="character" w:styleId="UnresolvedMention">
    <w:name w:val="Unresolved Mention"/>
    <w:basedOn w:val="DefaultParagraphFont"/>
    <w:uiPriority w:val="99"/>
    <w:semiHidden/>
    <w:unhideWhenUsed/>
    <w:qFormat/>
    <w:rsid w:val="00FF45D1"/>
    <w:rPr>
      <w:color w:val="605E5C"/>
      <w:shd w:val="clear" w:color="auto" w:fill="E1DFDD"/>
    </w:rPr>
  </w:style>
  <w:style w:type="paragraph" w:customStyle="1" w:styleId="Heading">
    <w:name w:val="Heading"/>
    <w:basedOn w:val="Normal"/>
    <w:next w:val="TextBody"/>
    <w:qFormat/>
    <w:pPr>
      <w:keepNext/>
      <w:spacing w:before="240" w:after="120"/>
    </w:pPr>
    <w:rPr>
      <w:rFonts w:ascii="Liberation Sans" w:eastAsia="Microsoft YaHei" w:hAnsi="Liberation Sans" w:cs="Arial"/>
      <w:sz w:val="28"/>
      <w:szCs w:val="28"/>
    </w:rPr>
  </w:style>
  <w:style w:type="paragraph" w:customStyle="1" w:styleId="TextBody">
    <w:name w:val="Text Body"/>
    <w:basedOn w:val="Normal"/>
    <w:pPr>
      <w:spacing w:after="140" w:line="288" w:lineRule="auto"/>
    </w:pPr>
  </w:style>
  <w:style w:type="paragraph" w:styleId="List">
    <w:name w:val="List"/>
    <w:basedOn w:val="TextBody"/>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D933FF"/>
    <w:pPr>
      <w:tabs>
        <w:tab w:val="center" w:pos="4680"/>
        <w:tab w:val="right" w:pos="9360"/>
      </w:tabs>
      <w:spacing w:after="0" w:line="240" w:lineRule="auto"/>
    </w:pPr>
  </w:style>
  <w:style w:type="paragraph" w:styleId="Footer">
    <w:name w:val="footer"/>
    <w:basedOn w:val="Normal"/>
    <w:link w:val="FooterChar"/>
    <w:uiPriority w:val="99"/>
    <w:unhideWhenUsed/>
    <w:rsid w:val="00D933FF"/>
    <w:pPr>
      <w:tabs>
        <w:tab w:val="center" w:pos="4680"/>
        <w:tab w:val="right" w:pos="9360"/>
      </w:tabs>
      <w:spacing w:after="0" w:line="240" w:lineRule="auto"/>
    </w:pPr>
  </w:style>
  <w:style w:type="paragraph" w:customStyle="1" w:styleId="TableContents">
    <w:name w:val="Table Contents"/>
    <w:basedOn w:val="Normal"/>
    <w:qFormat/>
  </w:style>
  <w:style w:type="paragraph" w:customStyle="1" w:styleId="TableHeading">
    <w:name w:val="Table Heading"/>
    <w:basedOn w:val="TableContent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justice.gov/opa/pr/virginia-landlords-pay-225000-violations"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dhcd.virginia.gov/" TargetMode="External"/><Relationship Id="rId12" Type="http://schemas.openxmlformats.org/officeDocument/2006/relationships/hyperlink" Target="https://dhcd.virgini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IS.virginia.gov/cgi-bin/legp604.exe" TargetMode="External"/><Relationship Id="rId11" Type="http://schemas.openxmlformats.org/officeDocument/2006/relationships/hyperlink" Target="https://actionforhappiness.or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wfxrtv.com/news/local-news/lynchburg-central-virginia-news/residents" TargetMode="External"/><Relationship Id="rId4" Type="http://schemas.openxmlformats.org/officeDocument/2006/relationships/footnotes" Target="footnotes.xml"/><Relationship Id="rId9" Type="http://schemas.openxmlformats.org/officeDocument/2006/relationships/hyperlink" Target="https://nbcwashington.com/news/local/family-sues-a-day-after-second-child-fal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24155</TotalTime>
  <Pages>7</Pages>
  <Words>1667</Words>
  <Characters>9508</Characters>
  <Application>Microsoft Office Word</Application>
  <DocSecurity>0</DocSecurity>
  <Lines>79</Lines>
  <Paragraphs>22</Paragraphs>
  <ScaleCrop>false</ScaleCrop>
  <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Loftis</dc:creator>
  <dc:description/>
  <cp:lastModifiedBy>Pamela Loftis</cp:lastModifiedBy>
  <cp:revision>92</cp:revision>
  <dcterms:created xsi:type="dcterms:W3CDTF">2023-06-19T00:59:00Z</dcterms:created>
  <dcterms:modified xsi:type="dcterms:W3CDTF">2026-03-09T20:43:00Z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